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A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021D" w:rsidRDefault="002B021D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 xml:space="preserve">Справочная информация о возможности заключения </w:t>
      </w:r>
    </w:p>
    <w:p w:rsidR="004A1A5C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СЗПК на федеральном уровне</w:t>
      </w:r>
    </w:p>
    <w:p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7DBB" w:rsidRPr="002B021D" w:rsidRDefault="00C17DBB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Текущая ситуация по СЗПК</w:t>
      </w:r>
    </w:p>
    <w:p w:rsidR="0088235C" w:rsidRPr="002B021D" w:rsidRDefault="00326F70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01.04.2020 г. принят Федеральный закон № 69-ФЗ «О защите и поощрении капиталовложений в Российской Федерации»</w:t>
      </w:r>
      <w:r w:rsidR="00681599" w:rsidRPr="002B021D">
        <w:rPr>
          <w:rFonts w:ascii="Times New Roman" w:hAnsi="Times New Roman" w:cs="Times New Roman"/>
          <w:sz w:val="27"/>
          <w:szCs w:val="27"/>
        </w:rPr>
        <w:t xml:space="preserve"> (далее – 69-ФЗ)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4C3E6E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Механизм СЗПК предусматривает стабилизацию налоговых и иных регуляторных условий реализации инвестиционных проектов на срок до 20 лет, а также возможность возмещения затрат на инфраструктуру, необходимую для реализации инвестиционных проектов, </w:t>
      </w:r>
      <w:r w:rsidR="003E4274" w:rsidRPr="002B021D">
        <w:rPr>
          <w:rFonts w:ascii="Times New Roman" w:hAnsi="Times New Roman" w:cs="Times New Roman"/>
          <w:b/>
          <w:sz w:val="27"/>
          <w:szCs w:val="27"/>
        </w:rPr>
        <w:t>в объеме не более уплаченных налогов и иных платежей.</w:t>
      </w:r>
    </w:p>
    <w:p w:rsidR="009F4917" w:rsidRPr="002B021D" w:rsidRDefault="009F4917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Федеральным законом от 01.04.2020 N 70-ФЗ внесены изменения в статью 5 НК РФ, обеспечивающие неизменность законодательства о налогах и сборах для участников соглашений о защите и поощрении капиталовложений (стабилизационная оговорка).</w:t>
      </w:r>
    </w:p>
    <w:p w:rsidR="00C17DBB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01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1577,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определяющее Минэкономразвития </w:t>
      </w:r>
      <w:proofErr w:type="gramStart"/>
      <w:r w:rsidR="0088235C" w:rsidRPr="002B021D">
        <w:rPr>
          <w:rFonts w:ascii="Times New Roman" w:hAnsi="Times New Roman" w:cs="Times New Roman"/>
          <w:sz w:val="27"/>
          <w:szCs w:val="27"/>
        </w:rPr>
        <w:t>России</w:t>
      </w:r>
      <w:proofErr w:type="gramEnd"/>
      <w:r w:rsidR="0088235C" w:rsidRPr="002B021D">
        <w:rPr>
          <w:rFonts w:ascii="Times New Roman" w:hAnsi="Times New Roman" w:cs="Times New Roman"/>
          <w:sz w:val="27"/>
          <w:szCs w:val="27"/>
        </w:rPr>
        <w:t xml:space="preserve"> уполномоченным органом на заключение СЗПК от имени Российской Федерации. Также </w:t>
      </w:r>
      <w:r w:rsidR="001D2C21" w:rsidRPr="002B021D">
        <w:rPr>
          <w:rFonts w:ascii="Times New Roman" w:hAnsi="Times New Roman" w:cs="Times New Roman"/>
          <w:sz w:val="27"/>
          <w:szCs w:val="27"/>
        </w:rPr>
        <w:t>Постановлением утверждены</w:t>
      </w:r>
      <w:r w:rsidRPr="002B021D">
        <w:rPr>
          <w:rFonts w:ascii="Times New Roman" w:hAnsi="Times New Roman" w:cs="Times New Roman"/>
          <w:sz w:val="27"/>
          <w:szCs w:val="27"/>
        </w:rPr>
        <w:t xml:space="preserve"> Правила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капиталовложений. Указанные Правила регулируют федеральные СЗПК. </w:t>
      </w:r>
    </w:p>
    <w:p w:rsidR="00490DF2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3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1599, регламентирующее порядок предоставления компенсаций компаниям, работающим в рамках СЗПК. </w:t>
      </w:r>
    </w:p>
    <w:p w:rsidR="00490DF2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Речь идёт о покрытии затрат на строительство и модернизацию транспортных, энергетических, коммунальных и информационных систем</w:t>
      </w:r>
      <w:r w:rsidR="00490DF2" w:rsidRPr="002B021D">
        <w:rPr>
          <w:rFonts w:ascii="Times New Roman" w:hAnsi="Times New Roman" w:cs="Times New Roman"/>
          <w:sz w:val="27"/>
          <w:szCs w:val="27"/>
        </w:rPr>
        <w:t xml:space="preserve"> (инфраструктура)</w:t>
      </w:r>
      <w:r w:rsidRPr="002B021D">
        <w:rPr>
          <w:rFonts w:ascii="Times New Roman" w:hAnsi="Times New Roman" w:cs="Times New Roman"/>
          <w:sz w:val="27"/>
          <w:szCs w:val="27"/>
        </w:rPr>
        <w:t xml:space="preserve">, необходимых для успешного запуска </w:t>
      </w:r>
      <w:proofErr w:type="spellStart"/>
      <w:r w:rsidRPr="002B021D">
        <w:rPr>
          <w:rFonts w:ascii="Times New Roman" w:hAnsi="Times New Roman" w:cs="Times New Roman"/>
          <w:sz w:val="27"/>
          <w:szCs w:val="27"/>
        </w:rPr>
        <w:t>инвестпроектов</w:t>
      </w:r>
      <w:proofErr w:type="spellEnd"/>
      <w:r w:rsidRPr="002B021D">
        <w:rPr>
          <w:rFonts w:ascii="Times New Roman" w:hAnsi="Times New Roman" w:cs="Times New Roman"/>
          <w:sz w:val="27"/>
          <w:szCs w:val="27"/>
        </w:rPr>
        <w:t xml:space="preserve">. </w:t>
      </w:r>
      <w:r w:rsidR="00490DF2" w:rsidRPr="002B021D">
        <w:rPr>
          <w:rFonts w:ascii="Times New Roman" w:hAnsi="Times New Roman" w:cs="Times New Roman"/>
          <w:sz w:val="27"/>
          <w:szCs w:val="27"/>
        </w:rPr>
        <w:t xml:space="preserve">Инфраструктура подразделяется на </w:t>
      </w:r>
      <w:proofErr w:type="gramStart"/>
      <w:r w:rsidR="00490DF2" w:rsidRPr="002B021D">
        <w:rPr>
          <w:rFonts w:ascii="Times New Roman" w:hAnsi="Times New Roman" w:cs="Times New Roman"/>
          <w:sz w:val="27"/>
          <w:szCs w:val="27"/>
        </w:rPr>
        <w:t>обеспечивающую</w:t>
      </w:r>
      <w:proofErr w:type="gramEnd"/>
      <w:r w:rsidR="00490DF2" w:rsidRPr="002B021D">
        <w:rPr>
          <w:rFonts w:ascii="Times New Roman" w:hAnsi="Times New Roman" w:cs="Times New Roman"/>
          <w:sz w:val="27"/>
          <w:szCs w:val="27"/>
        </w:rPr>
        <w:t xml:space="preserve"> и сопутствующую:</w:t>
      </w:r>
    </w:p>
    <w:p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 xml:space="preserve">Обеспечивающая инфраструктура – объекты </w:t>
      </w:r>
      <w:proofErr w:type="gramStart"/>
      <w:r w:rsidRPr="002B021D">
        <w:rPr>
          <w:rFonts w:ascii="Times New Roman" w:hAnsi="Times New Roman" w:cs="Times New Roman"/>
          <w:sz w:val="27"/>
          <w:szCs w:val="27"/>
        </w:rPr>
        <w:t>транспортной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, энергетической, </w:t>
      </w:r>
      <w:proofErr w:type="gramStart"/>
      <w:r w:rsidRPr="002B021D">
        <w:rPr>
          <w:rFonts w:ascii="Times New Roman" w:hAnsi="Times New Roman" w:cs="Times New Roman"/>
          <w:sz w:val="27"/>
          <w:szCs w:val="27"/>
        </w:rPr>
        <w:t>коммунальной, социальной, цифровой инфраструктур, используемые исключительно в целях реализации инвестиционного проекта.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Объем возмещения составляет до 50% (но не более объема исчисленных налогов). Предельный срок возмещения затрат – 5 лет.</w:t>
      </w:r>
    </w:p>
    <w:p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</w:rPr>
        <w:t>Сопутствующая инфраструктура –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целях.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Объем </w:t>
      </w:r>
      <w:r w:rsidRPr="002B021D">
        <w:rPr>
          <w:rFonts w:ascii="Times New Roman" w:hAnsi="Times New Roman" w:cs="Times New Roman"/>
          <w:sz w:val="27"/>
          <w:szCs w:val="27"/>
        </w:rPr>
        <w:lastRenderedPageBreak/>
        <w:t>возмещения составляет до 100% (но не более объема исчисленных налогов). Предельный срок возмещения затрат – 10 лет.</w:t>
      </w:r>
    </w:p>
    <w:p w:rsidR="00C17DBB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 xml:space="preserve">Кроме того, за счёт федерального бюджета будут возмещены расходы на выплату процентов по кредитам и купонного дохода по облигационным займам, привлечённым на инвестиционные цели. </w:t>
      </w:r>
      <w:proofErr w:type="gramStart"/>
      <w:r w:rsidRPr="002B021D">
        <w:rPr>
          <w:rFonts w:ascii="Times New Roman" w:hAnsi="Times New Roman" w:cs="Times New Roman"/>
          <w:sz w:val="27"/>
          <w:szCs w:val="27"/>
        </w:rPr>
        <w:t>Указанный порядок регулирует предоставление компенсаций для федеральных СЗПК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(но с 202</w:t>
      </w:r>
      <w:r w:rsidR="00F7459A" w:rsidRPr="002B021D">
        <w:rPr>
          <w:rFonts w:ascii="Times New Roman" w:hAnsi="Times New Roman" w:cs="Times New Roman"/>
          <w:sz w:val="27"/>
          <w:szCs w:val="27"/>
        </w:rPr>
        <w:t>3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года)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8235C" w:rsidRPr="002B021D" w:rsidRDefault="00C17DBB" w:rsidP="0088235C">
      <w:pPr>
        <w:spacing w:after="0"/>
        <w:ind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</w:rPr>
        <w:t>Перечисленные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НПА позволяют запустить механизм СЗПК </w:t>
      </w:r>
      <w:r w:rsidRPr="002B021D">
        <w:rPr>
          <w:rFonts w:ascii="Times New Roman" w:hAnsi="Times New Roman" w:cs="Times New Roman"/>
          <w:b/>
          <w:sz w:val="27"/>
          <w:szCs w:val="27"/>
        </w:rPr>
        <w:t>на федеральном уровне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Обязательными сторонами федеральных СЗПК выступают Российская Федерация, субъект РФ и организация, реализующая проект.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Минэкономразвития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России является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уполномоченным органом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на заключение </w:t>
      </w:r>
      <w:r w:rsidR="001D2C21" w:rsidRPr="002B021D">
        <w:rPr>
          <w:rFonts w:ascii="Times New Roman" w:hAnsi="Times New Roman" w:cs="Times New Roman"/>
          <w:bCs/>
          <w:sz w:val="27"/>
          <w:szCs w:val="27"/>
        </w:rPr>
        <w:t>СЗПК</w:t>
      </w:r>
      <w:r w:rsidR="0088235C" w:rsidRPr="002B021D">
        <w:rPr>
          <w:rFonts w:ascii="Times New Roman" w:hAnsi="Times New Roman" w:cs="Times New Roman"/>
          <w:bCs/>
          <w:sz w:val="27"/>
          <w:szCs w:val="27"/>
        </w:rPr>
        <w:t xml:space="preserve"> от имени Российской Федерации.</w:t>
      </w:r>
    </w:p>
    <w:p w:rsidR="001D2C21" w:rsidRPr="002B021D" w:rsidRDefault="001D2C21" w:rsidP="0088235C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bCs/>
          <w:sz w:val="27"/>
          <w:szCs w:val="27"/>
        </w:rPr>
        <w:t xml:space="preserve">Заключение первых СЗПК планируется провести в «ручном режиме» (на бумажных носителях). В следующем году заключение СЗПК планируется </w:t>
      </w:r>
      <w:r w:rsidRPr="002B021D">
        <w:rPr>
          <w:rFonts w:ascii="Times New Roman" w:hAnsi="Times New Roman" w:cs="Times New Roman"/>
          <w:sz w:val="27"/>
          <w:szCs w:val="27"/>
        </w:rPr>
        <w:t>перевести в электронный формат (с помощью ГИС «Капиталовложения» - единой государственной системы для банков, инвесторов и государства).</w:t>
      </w:r>
    </w:p>
    <w:p w:rsidR="00E35D6A" w:rsidRPr="002B021D" w:rsidRDefault="00E35D6A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61D7" w:rsidRPr="002B021D" w:rsidRDefault="002E61D7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Условия заключения</w:t>
      </w:r>
    </w:p>
    <w:p w:rsidR="004A1A5C" w:rsidRPr="002B021D" w:rsidRDefault="004A1A5C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61D7" w:rsidRPr="003C6FED" w:rsidRDefault="00E033D2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Требования к сфере деятельности и объему капиталовложений</w:t>
      </w:r>
    </w:p>
    <w:p w:rsidR="002B021D" w:rsidRPr="003C6FED" w:rsidRDefault="002B021D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:rsidTr="00E033D2">
        <w:tc>
          <w:tcPr>
            <w:tcW w:w="5000" w:type="pct"/>
            <w:gridSpan w:val="2"/>
          </w:tcPr>
          <w:p w:rsidR="00E033D2" w:rsidRPr="004A1A5C" w:rsidRDefault="00E033D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Российская Федерация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культуры, физической культуры и спорта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цифровой экономики, экологии, сельского хозяйства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обрабатывающего производства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1,5 млрд. руб.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иные сферы экономики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5 млрд. руб.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если объем капиталовложений организации, реализующей проект, составляет не менее 10 млрд.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033D2" w:rsidRPr="004A1A5C" w:rsidTr="00E033D2">
        <w:tc>
          <w:tcPr>
            <w:tcW w:w="5000" w:type="pct"/>
            <w:gridSpan w:val="2"/>
          </w:tcPr>
          <w:p w:rsidR="00E033D2" w:rsidRPr="004A1A5C" w:rsidRDefault="00E033D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субъект Российской Федерации</w:t>
            </w:r>
          </w:p>
        </w:tc>
      </w:tr>
      <w:tr w:rsidR="00E033D2" w:rsidRPr="004A1A5C" w:rsidTr="00491712">
        <w:tc>
          <w:tcPr>
            <w:tcW w:w="2500" w:type="pct"/>
          </w:tcPr>
          <w:p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 сфера (за исключением ряда ограничений)</w:t>
            </w:r>
          </w:p>
        </w:tc>
        <w:tc>
          <w:tcPr>
            <w:tcW w:w="2500" w:type="pct"/>
          </w:tcPr>
          <w:p w:rsidR="00E033D2" w:rsidRPr="004A1A5C" w:rsidRDefault="009D3437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 200 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млрд. 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2B021D" w:rsidRPr="003C6FED" w:rsidRDefault="002B021D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95099" w:rsidRPr="002B021D" w:rsidRDefault="00B95099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Законом установлено два возможных порядка заключения СЗПК: </w:t>
      </w:r>
    </w:p>
    <w:p w:rsidR="00B95099" w:rsidRPr="002B021D" w:rsidRDefault="00B95099" w:rsidP="00B9509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заявительный</w:t>
      </w:r>
      <w:proofErr w:type="gramEnd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(частная проектная инициатива);</w:t>
      </w:r>
    </w:p>
    <w:p w:rsidR="00281301" w:rsidRPr="00E9175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конкурсный</w:t>
      </w:r>
      <w:proofErr w:type="gramEnd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(публичная проектная инициатива).</w:t>
      </w:r>
      <w:r w:rsidRPr="002B021D">
        <w:rPr>
          <w:rFonts w:ascii="Times New Roman" w:hAnsi="Times New Roman" w:cs="Times New Roman"/>
          <w:sz w:val="27"/>
          <w:szCs w:val="27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аявительный 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онкурсный</w:t>
            </w:r>
          </w:p>
        </w:tc>
      </w:tr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Обязательность применения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Субъект РФ не может отказаться от заключения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СЗПК (при соблюдении проектом условий)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Договор заключается с победителем конкурса.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может быть объявлен субъектом и (или) Российской Федерацией.</w:t>
            </w:r>
          </w:p>
        </w:tc>
      </w:tr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СЗПК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инвестора (при их соответствии установленным требованиям)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Победителем конкурса признается организация, предложившая наилучшие условия реализации инвестиционного проекта</w:t>
            </w:r>
          </w:p>
        </w:tc>
      </w:tr>
    </w:tbl>
    <w:p w:rsidR="00B9509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</w:p>
    <w:p w:rsidR="00E033D2" w:rsidRPr="002B021D" w:rsidRDefault="00E033D2" w:rsidP="00B95099">
      <w:pPr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Стабилизационная оговорка и ее сроки</w:t>
      </w:r>
    </w:p>
    <w:p w:rsidR="002E61D7" w:rsidRPr="002B021D" w:rsidRDefault="00E033D2" w:rsidP="00E033D2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Стабилизационная оговорка - это установленный законодателем запрет на ухудшение условий осуществления деятельности</w:t>
      </w:r>
    </w:p>
    <w:p w:rsidR="00983208" w:rsidRDefault="00983208" w:rsidP="00E033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00" w:type="pct"/>
          </w:tcPr>
          <w:p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не превышает 5 млрд. руб.</w:t>
            </w:r>
          </w:p>
        </w:tc>
      </w:tr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от 5 млрд. руб. до 10 млрд. руб.</w:t>
            </w:r>
          </w:p>
        </w:tc>
      </w:tr>
      <w:tr w:rsidR="004A1A5C" w:rsidRPr="004A1A5C" w:rsidTr="00E033D2">
        <w:tc>
          <w:tcPr>
            <w:tcW w:w="2500" w:type="pct"/>
          </w:tcPr>
          <w:p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500" w:type="pct"/>
          </w:tcPr>
          <w:p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более 10 млрд. рублей</w:t>
            </w:r>
          </w:p>
        </w:tc>
      </w:tr>
    </w:tbl>
    <w:p w:rsidR="002E61D7" w:rsidRDefault="002E61D7" w:rsidP="002E61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D6B9B" w:rsidRPr="002B021D" w:rsidRDefault="00356796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 xml:space="preserve">Условия возмещения </w:t>
      </w:r>
      <w:r w:rsidR="004D6B9B" w:rsidRPr="002B021D">
        <w:rPr>
          <w:rFonts w:ascii="Times New Roman" w:hAnsi="Times New Roman" w:cs="Times New Roman"/>
          <w:b/>
          <w:sz w:val="27"/>
          <w:szCs w:val="27"/>
        </w:rPr>
        <w:t xml:space="preserve">затрат на инфраструктуру </w:t>
      </w:r>
      <w:r w:rsidRPr="002B021D">
        <w:rPr>
          <w:rFonts w:ascii="Times New Roman" w:hAnsi="Times New Roman" w:cs="Times New Roman"/>
          <w:b/>
          <w:sz w:val="27"/>
          <w:szCs w:val="27"/>
        </w:rPr>
        <w:t>за счет средств бюджетной системы РФ</w:t>
      </w:r>
    </w:p>
    <w:p w:rsidR="00983208" w:rsidRPr="004D6B9B" w:rsidRDefault="00983208" w:rsidP="004D6B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2732"/>
        <w:gridCol w:w="3536"/>
      </w:tblGrid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Предельный срок</w:t>
            </w:r>
          </w:p>
        </w:tc>
        <w:tc>
          <w:tcPr>
            <w:tcW w:w="2732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Объем возмещения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Тип инфраструктуры</w:t>
            </w:r>
          </w:p>
        </w:tc>
      </w:tr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32" w:type="dxa"/>
          </w:tcPr>
          <w:p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объема налогов)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Обеспечивающая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</w:t>
            </w:r>
            <w:proofErr w:type="gramEnd"/>
          </w:p>
        </w:tc>
      </w:tr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32" w:type="dxa"/>
          </w:tcPr>
          <w:p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Сопутствующая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</w:t>
            </w:r>
            <w:proofErr w:type="gramEnd"/>
          </w:p>
        </w:tc>
      </w:tr>
    </w:tbl>
    <w:p w:rsidR="00983208" w:rsidRDefault="00983208" w:rsidP="001B1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021D" w:rsidRPr="002B021D" w:rsidRDefault="001B1DDA" w:rsidP="00E35D6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2B021D">
        <w:rPr>
          <w:rFonts w:ascii="Times New Roman" w:hAnsi="Times New Roman" w:cs="Times New Roman"/>
          <w:i/>
          <w:sz w:val="27"/>
          <w:szCs w:val="27"/>
        </w:rPr>
        <w:t xml:space="preserve">Указанные сроки исчисляются со дня начала возмещения затрат. При этом </w:t>
      </w:r>
      <w:hyperlink r:id="rId6" w:history="1">
        <w:r w:rsidRPr="002B021D">
          <w:rPr>
            <w:rStyle w:val="a4"/>
            <w:rFonts w:ascii="Times New Roman" w:hAnsi="Times New Roman"/>
            <w:i/>
            <w:sz w:val="27"/>
            <w:szCs w:val="27"/>
          </w:rPr>
          <w:t>ч. 5 ст. 15</w:t>
        </w:r>
      </w:hyperlink>
      <w:r w:rsidRPr="002B021D">
        <w:rPr>
          <w:rFonts w:ascii="Times New Roman" w:hAnsi="Times New Roman" w:cs="Times New Roman"/>
          <w:i/>
          <w:sz w:val="27"/>
          <w:szCs w:val="27"/>
        </w:rPr>
        <w:t xml:space="preserve"> Закона предусмотрены случаи, когда названные сроки увеличиваются на год.</w:t>
      </w:r>
    </w:p>
    <w:p w:rsidR="002B021D" w:rsidRDefault="002B02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B021D" w:rsidRPr="002B021D" w:rsidRDefault="002B021D" w:rsidP="002B021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noProof/>
          <w:sz w:val="27"/>
          <w:szCs w:val="27"/>
        </w:rPr>
        <w:lastRenderedPageBreak/>
        <w:t>Справочная информация о направлении субъектом РФ бюджетных инвестиций в объекты инфраструктуры в целях реализации новых инвестиицонных проектов</w:t>
      </w:r>
    </w:p>
    <w:p w:rsidR="002B021D" w:rsidRPr="002B021D" w:rsidRDefault="002B021D" w:rsidP="002B021D">
      <w:pPr>
        <w:spacing w:after="0"/>
        <w:jc w:val="center"/>
        <w:rPr>
          <w:rFonts w:ascii="Times New Roman" w:eastAsia="Calibri" w:hAnsi="Times New Roman" w:cs="Times New Roman"/>
          <w:noProof/>
          <w:sz w:val="27"/>
          <w:szCs w:val="27"/>
        </w:rPr>
      </w:pPr>
    </w:p>
    <w:p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noProof/>
          <w:sz w:val="27"/>
          <w:szCs w:val="27"/>
        </w:rPr>
        <w:t>Что такое новый инвестиционный проект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г.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Новый инвестиционный проект должен быть реализован отдельно созданным для этого юридическим лицом.</w:t>
      </w:r>
    </w:p>
    <w:p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 xml:space="preserve">Что такое объекты инфраструктуры 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Под объектами инфраструктуры понимаются объекты транспортной, инженерной, энергетической и коммунальной инфраструктуры, необходимые для реализации нового инвестиционного проекта.</w:t>
      </w:r>
    </w:p>
    <w:p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В каких сферах должен реализовываться новый инвестиционный проект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Новые инвестиционные проекты должны реализовываться в следующих сферах:</w:t>
      </w:r>
    </w:p>
    <w:p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сельское хозяйство; </w:t>
      </w:r>
    </w:p>
    <w:p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proofErr w:type="gramStart"/>
      <w:r w:rsidRPr="002B021D">
        <w:rPr>
          <w:sz w:val="27"/>
          <w:szCs w:val="27"/>
        </w:rPr>
        <w:t xml:space="preserve"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 </w:t>
      </w:r>
      <w:proofErr w:type="gramEnd"/>
    </w:p>
    <w:p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туристская деятельность; </w:t>
      </w:r>
    </w:p>
    <w:p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логистическая деятельность; </w:t>
      </w:r>
    </w:p>
    <w:p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sz w:val="27"/>
          <w:szCs w:val="27"/>
        </w:rP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</w:t>
      </w:r>
      <w:proofErr w:type="spellStart"/>
      <w:r w:rsidRPr="002B021D">
        <w:rPr>
          <w:sz w:val="27"/>
          <w:szCs w:val="27"/>
        </w:rPr>
        <w:t>инжекторных</w:t>
      </w:r>
      <w:proofErr w:type="spellEnd"/>
      <w:r w:rsidRPr="002B021D">
        <w:rPr>
          <w:sz w:val="27"/>
          <w:szCs w:val="27"/>
        </w:rPr>
        <w:t xml:space="preserve">) двигателей, </w:t>
      </w:r>
      <w:r w:rsidRPr="002B021D">
        <w:rPr>
          <w:color w:val="auto"/>
          <w:sz w:val="27"/>
          <w:szCs w:val="27"/>
        </w:rPr>
        <w:t xml:space="preserve">авиационного керосина, продуктов нефтехимии, являющихся подакцизными товарами); </w:t>
      </w:r>
    </w:p>
    <w:p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по отраслям, относящимся к перспективным экономическим специализациям субъектов Российской Федерации, предусмотренным приложением № 1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№ 207-р; </w:t>
      </w:r>
    </w:p>
    <w:p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жилищное строительство; </w:t>
      </w:r>
    </w:p>
    <w:p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жилищно-коммунальное хозяйство; </w:t>
      </w:r>
    </w:p>
    <w:p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строительство или реконструкция автомобильных дорог (участков автомобильных дорог и (или) искусственных дорожных сооружений), </w:t>
      </w:r>
      <w:r w:rsidRPr="002B021D">
        <w:rPr>
          <w:color w:val="auto"/>
          <w:sz w:val="27"/>
          <w:szCs w:val="27"/>
        </w:rPr>
        <w:lastRenderedPageBreak/>
        <w:t xml:space="preserve">реализуемых субъектами Российской Федерации в рамках концессионных соглашений; </w:t>
      </w:r>
    </w:p>
    <w:p w:rsidR="002B021D" w:rsidRPr="002B021D" w:rsidRDefault="002B021D" w:rsidP="002B021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дорожное хозяйство с применением механизма государственно-частного партнерства.</w:t>
      </w:r>
    </w:p>
    <w:p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В каком виде осуществляются бюджетные инвестиции в объекты инфраструктуры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Направление субъектом Российской Федерации бюджетных инвестиций в объекты инфраструктуры в целях реализации новых инвестиционных проектов осуществляется в форме:</w:t>
      </w:r>
    </w:p>
    <w:p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капитальных вложений в объекты государственной (муниципальной) собственности;</w:t>
      </w:r>
    </w:p>
    <w:p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B021D">
        <w:rPr>
          <w:rFonts w:ascii="Times New Roman" w:eastAsia="Calibri" w:hAnsi="Times New Roman" w:cs="Times New Roman"/>
          <w:sz w:val="27"/>
          <w:szCs w:val="27"/>
        </w:rPr>
        <w:t>предоставления субсидий юридическим лицам, 100 процентов акций (долей) которых принадлежат субъекту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лиц;</w:t>
      </w:r>
      <w:proofErr w:type="gramEnd"/>
    </w:p>
    <w:p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предоставления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 объектов инфраструктуры.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Средства могут быть направлены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технологическое присоединение к сетям инженерно-технического обеспечения.</w:t>
      </w:r>
    </w:p>
    <w:p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Как можно получить поддержку в рамках реализации инвестиционного проекта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На данном этапе Минэкономразвития Челябинской области информирует организации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B021D">
        <w:rPr>
          <w:rFonts w:ascii="Times New Roman" w:eastAsia="Calibri" w:hAnsi="Times New Roman" w:cs="Times New Roman"/>
          <w:sz w:val="27"/>
          <w:szCs w:val="27"/>
        </w:rPr>
        <w:t>органы исполнительной власти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органы местного самоуправления</w:t>
      </w:r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 Челябинской области о возможности направления бюджетных инвестиций в объекты инфраструктуры в целях реализации новых инвестиционных проектов.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После поступления запроса от </w:t>
      </w:r>
      <w:proofErr w:type="spellStart"/>
      <w:r w:rsidRPr="002B021D">
        <w:rPr>
          <w:rFonts w:ascii="Times New Roman" w:eastAsia="Calibri" w:hAnsi="Times New Roman" w:cs="Times New Roman"/>
          <w:sz w:val="27"/>
          <w:szCs w:val="27"/>
        </w:rPr>
        <w:t>Минэкономравития</w:t>
      </w:r>
      <w:proofErr w:type="spellEnd"/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(не позднее 3 декабря 2020 года) власти региона собирают необходимую информацию для формирования сводного перечня проектов и направляют его для рассмотрения в Минэкономразвития России.</w:t>
      </w:r>
    </w:p>
    <w:p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В течение 30 дней Минэкономразвития России направляет сводный перечень в президиум (штаб) Правительственной комиссии по региональному развитию в Российской Федерации, для его последующего рассмотрения на заседании штаба и принятия штабом решения о его одобрении.</w:t>
      </w:r>
    </w:p>
    <w:p w:rsidR="00232099" w:rsidRDefault="00232099" w:rsidP="00E35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32099" w:rsidSect="0057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309"/>
    <w:multiLevelType w:val="hybridMultilevel"/>
    <w:tmpl w:val="B5DE80BC"/>
    <w:lvl w:ilvl="0" w:tplc="99FAA4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D7646"/>
    <w:multiLevelType w:val="hybridMultilevel"/>
    <w:tmpl w:val="BD60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37EC"/>
    <w:multiLevelType w:val="hybridMultilevel"/>
    <w:tmpl w:val="C9CAD3E0"/>
    <w:lvl w:ilvl="0" w:tplc="010EBC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74F9"/>
    <w:multiLevelType w:val="hybridMultilevel"/>
    <w:tmpl w:val="69880762"/>
    <w:lvl w:ilvl="0" w:tplc="AF1C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5D75B7"/>
    <w:multiLevelType w:val="hybridMultilevel"/>
    <w:tmpl w:val="B2E6BA12"/>
    <w:lvl w:ilvl="0" w:tplc="A59E23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5134D"/>
    <w:multiLevelType w:val="hybridMultilevel"/>
    <w:tmpl w:val="A1164CA4"/>
    <w:lvl w:ilvl="0" w:tplc="9620DC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4C20"/>
    <w:multiLevelType w:val="hybridMultilevel"/>
    <w:tmpl w:val="E4DC664C"/>
    <w:lvl w:ilvl="0" w:tplc="28DAA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68"/>
    <w:rsid w:val="000179F8"/>
    <w:rsid w:val="00067C51"/>
    <w:rsid w:val="00081D85"/>
    <w:rsid w:val="000B1AA8"/>
    <w:rsid w:val="000C62AF"/>
    <w:rsid w:val="00121B86"/>
    <w:rsid w:val="001B1DDA"/>
    <w:rsid w:val="001B7558"/>
    <w:rsid w:val="001C0079"/>
    <w:rsid w:val="001D2C21"/>
    <w:rsid w:val="001F6EE0"/>
    <w:rsid w:val="00232099"/>
    <w:rsid w:val="00281301"/>
    <w:rsid w:val="002B021D"/>
    <w:rsid w:val="002E61D7"/>
    <w:rsid w:val="003154C2"/>
    <w:rsid w:val="00326F70"/>
    <w:rsid w:val="00342749"/>
    <w:rsid w:val="00356796"/>
    <w:rsid w:val="00380076"/>
    <w:rsid w:val="003819CF"/>
    <w:rsid w:val="003B7C1D"/>
    <w:rsid w:val="003C6FED"/>
    <w:rsid w:val="003D77F5"/>
    <w:rsid w:val="003E4274"/>
    <w:rsid w:val="00403EA8"/>
    <w:rsid w:val="00407FD0"/>
    <w:rsid w:val="00490DF2"/>
    <w:rsid w:val="00491712"/>
    <w:rsid w:val="00494F0A"/>
    <w:rsid w:val="004A1A5C"/>
    <w:rsid w:val="004C3E6E"/>
    <w:rsid w:val="004D6B9B"/>
    <w:rsid w:val="005346C2"/>
    <w:rsid w:val="00571477"/>
    <w:rsid w:val="005C1ED1"/>
    <w:rsid w:val="00622307"/>
    <w:rsid w:val="00631EB1"/>
    <w:rsid w:val="0064170B"/>
    <w:rsid w:val="00663BEE"/>
    <w:rsid w:val="0066546E"/>
    <w:rsid w:val="00681599"/>
    <w:rsid w:val="006A6AE7"/>
    <w:rsid w:val="006B66CC"/>
    <w:rsid w:val="006F6300"/>
    <w:rsid w:val="007148D0"/>
    <w:rsid w:val="00781534"/>
    <w:rsid w:val="008024E5"/>
    <w:rsid w:val="0088235C"/>
    <w:rsid w:val="008A2518"/>
    <w:rsid w:val="008B1A4D"/>
    <w:rsid w:val="008B5B78"/>
    <w:rsid w:val="008D4243"/>
    <w:rsid w:val="00983208"/>
    <w:rsid w:val="009D3437"/>
    <w:rsid w:val="009E267A"/>
    <w:rsid w:val="009F4917"/>
    <w:rsid w:val="00A924F8"/>
    <w:rsid w:val="00AB671E"/>
    <w:rsid w:val="00B1569A"/>
    <w:rsid w:val="00B26491"/>
    <w:rsid w:val="00B37D45"/>
    <w:rsid w:val="00B85B50"/>
    <w:rsid w:val="00B95099"/>
    <w:rsid w:val="00BA02F7"/>
    <w:rsid w:val="00BF0A47"/>
    <w:rsid w:val="00C163A9"/>
    <w:rsid w:val="00C17DBB"/>
    <w:rsid w:val="00C93B92"/>
    <w:rsid w:val="00CA13B0"/>
    <w:rsid w:val="00CA7C68"/>
    <w:rsid w:val="00CD12C6"/>
    <w:rsid w:val="00D22D3B"/>
    <w:rsid w:val="00D25318"/>
    <w:rsid w:val="00D56C1D"/>
    <w:rsid w:val="00D6710E"/>
    <w:rsid w:val="00E033D2"/>
    <w:rsid w:val="00E05C78"/>
    <w:rsid w:val="00E22532"/>
    <w:rsid w:val="00E35D6A"/>
    <w:rsid w:val="00E90F0E"/>
    <w:rsid w:val="00E91759"/>
    <w:rsid w:val="00E96A8D"/>
    <w:rsid w:val="00ED398C"/>
    <w:rsid w:val="00ED3C8F"/>
    <w:rsid w:val="00EF0E97"/>
    <w:rsid w:val="00F137C5"/>
    <w:rsid w:val="00F2763A"/>
    <w:rsid w:val="00F55C86"/>
    <w:rsid w:val="00F60128"/>
    <w:rsid w:val="00F7459A"/>
    <w:rsid w:val="00FA6F7F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D6710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17D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2C21"/>
    <w:rPr>
      <w:color w:val="0000FF"/>
      <w:u w:val="single"/>
    </w:rPr>
  </w:style>
  <w:style w:type="paragraph" w:customStyle="1" w:styleId="Default">
    <w:name w:val="Default"/>
    <w:rsid w:val="002B0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D6710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17D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2C21"/>
    <w:rPr>
      <w:color w:val="0000FF"/>
      <w:u w:val="single"/>
    </w:rPr>
  </w:style>
  <w:style w:type="paragraph" w:customStyle="1" w:styleId="Default">
    <w:name w:val="Default"/>
    <w:rsid w:val="002B0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726576.1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LevkoVD</dc:creator>
  <cp:lastModifiedBy>Виктория Валерьевна Мельник</cp:lastModifiedBy>
  <cp:revision>3</cp:revision>
  <cp:lastPrinted>2020-10-29T09:40:00Z</cp:lastPrinted>
  <dcterms:created xsi:type="dcterms:W3CDTF">2020-11-09T05:42:00Z</dcterms:created>
  <dcterms:modified xsi:type="dcterms:W3CDTF">2020-11-09T05:43:00Z</dcterms:modified>
</cp:coreProperties>
</file>